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51" w:rsidRDefault="00F6402F">
      <w:pPr>
        <w:pStyle w:val="2"/>
        <w:spacing w:after="280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 xml:space="preserve">Summary </w:t>
      </w:r>
      <w:bookmarkStart w:id="0" w:name="_GoBack"/>
      <w:bookmarkEnd w:id="0"/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266D51" w:rsidRDefault="00F6402F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«</w:t>
      </w:r>
      <w:r>
        <w:rPr>
          <w:rStyle w:val="FontStyle55"/>
          <w:rFonts w:cs="Times New Roman"/>
          <w:bCs/>
          <w:sz w:val="24"/>
          <w:szCs w:val="24"/>
          <w:lang w:val="en-US"/>
        </w:rPr>
        <w:t>Latin language</w:t>
      </w:r>
      <w:r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266D51" w:rsidRDefault="00266D51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</w:p>
    <w:p w:rsidR="00266D51" w:rsidRDefault="00F6402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General educational program of higher education </w:t>
      </w:r>
      <w:r>
        <w:rPr>
          <w:i/>
          <w:color w:val="000000"/>
          <w:sz w:val="24"/>
          <w:szCs w:val="24"/>
          <w:lang w:val="en-US"/>
        </w:rPr>
        <w:t>33.05.01 Pharmacy</w:t>
      </w:r>
    </w:p>
    <w:p w:rsidR="00266D51" w:rsidRDefault="00F6402F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"/>
        </w:rPr>
        <w:t xml:space="preserve">  </w:t>
      </w:r>
    </w:p>
    <w:p w:rsidR="00266D51" w:rsidRDefault="00F6402F">
      <w:pPr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Department:</w:t>
      </w:r>
      <w:r>
        <w:rPr>
          <w:sz w:val="24"/>
          <w:szCs w:val="24"/>
          <w:lang w:val="en-US"/>
        </w:rPr>
        <w:t xml:space="preserve"> Foreign languages </w:t>
      </w:r>
      <w:r>
        <w:rPr>
          <w:sz w:val="24"/>
          <w:szCs w:val="24"/>
          <w:lang w:val="en"/>
        </w:rPr>
        <w:t>________________________________________________________________________</w:t>
      </w:r>
    </w:p>
    <w:p w:rsidR="00266D51" w:rsidRDefault="00266D51">
      <w:pPr>
        <w:rPr>
          <w:sz w:val="24"/>
          <w:szCs w:val="24"/>
          <w:lang w:val="en-US"/>
        </w:rPr>
      </w:pPr>
    </w:p>
    <w:p w:rsidR="00266D51" w:rsidRPr="001851E9" w:rsidRDefault="00F6402F">
      <w:pPr>
        <w:ind w:firstLine="709"/>
        <w:jc w:val="both"/>
        <w:rPr>
          <w:lang w:val="en-US"/>
        </w:rPr>
      </w:pPr>
      <w:r>
        <w:rPr>
          <w:b/>
          <w:bCs/>
          <w:sz w:val="24"/>
          <w:szCs w:val="24"/>
          <w:lang w:val="en"/>
        </w:rPr>
        <w:t xml:space="preserve">1. The </w:t>
      </w:r>
      <w:r>
        <w:rPr>
          <w:b/>
          <w:bCs/>
          <w:sz w:val="24"/>
          <w:szCs w:val="24"/>
          <w:lang w:val="en"/>
        </w:rPr>
        <w:t>purpose of mastering the discipline</w:t>
      </w:r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-US"/>
        </w:rPr>
        <w:t xml:space="preserve">is to participate in the formation of the following universal competencies: </w:t>
      </w:r>
      <w:r>
        <w:rPr>
          <w:b/>
          <w:bCs/>
          <w:sz w:val="24"/>
          <w:szCs w:val="24"/>
          <w:lang w:val="en-US"/>
        </w:rPr>
        <w:t>UC-5</w:t>
      </w:r>
      <w:r>
        <w:rPr>
          <w:sz w:val="24"/>
          <w:szCs w:val="24"/>
          <w:lang w:val="en-US"/>
        </w:rPr>
        <w:t xml:space="preserve"> – able] to analyze and take into account the diversity of cultures in the process of the intercultural interaction; </w:t>
      </w:r>
      <w:r>
        <w:rPr>
          <w:b/>
          <w:bCs/>
          <w:sz w:val="24"/>
          <w:szCs w:val="24"/>
          <w:lang w:val="en-US"/>
        </w:rPr>
        <w:t>PC-2</w:t>
      </w:r>
      <w:r>
        <w:rPr>
          <w:sz w:val="24"/>
          <w:szCs w:val="24"/>
          <w:lang w:val="en-US"/>
        </w:rPr>
        <w:t xml:space="preserve"> – able to solve the tasks of professional activity in the implementation of the release and sale of medicines and other products of the pharmacy range through pharmaceutical and medical organizations.</w:t>
      </w:r>
    </w:p>
    <w:p w:rsidR="00266D51" w:rsidRDefault="00266D51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</w:p>
    <w:p w:rsidR="00266D51" w:rsidRDefault="00F6402F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2.</w:t>
      </w:r>
      <w:r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</w:t>
      </w:r>
      <w:r>
        <w:rPr>
          <w:rStyle w:val="FontStyle55"/>
          <w:rFonts w:cs="Times New Roman"/>
          <w:bCs/>
          <w:sz w:val="24"/>
          <w:szCs w:val="24"/>
          <w:lang w:val="en"/>
        </w:rPr>
        <w:t>re of the General Educational Program (GEP).</w:t>
      </w:r>
    </w:p>
    <w:p w:rsidR="00266D51" w:rsidRDefault="00F6402F">
      <w:pPr>
        <w:ind w:firstLine="709"/>
        <w:rPr>
          <w:sz w:val="24"/>
          <w:szCs w:val="24"/>
          <w:lang w:val="en-US"/>
        </w:rPr>
      </w:pPr>
      <w:r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>
        <w:rPr>
          <w:sz w:val="24"/>
          <w:szCs w:val="24"/>
          <w:lang w:val="en"/>
        </w:rPr>
        <w:t xml:space="preserve">The discipline refers to the core </w:t>
      </w:r>
      <w:proofErr w:type="gramStart"/>
      <w:r>
        <w:rPr>
          <w:sz w:val="24"/>
          <w:szCs w:val="24"/>
          <w:lang w:val="en"/>
        </w:rPr>
        <w:t>part</w:t>
      </w:r>
      <w:r>
        <w:rPr>
          <w:i/>
          <w:sz w:val="24"/>
          <w:szCs w:val="24"/>
          <w:lang w:val="en"/>
        </w:rPr>
        <w:t xml:space="preserve"> </w:t>
      </w:r>
      <w:r>
        <w:rPr>
          <w:sz w:val="24"/>
          <w:szCs w:val="24"/>
          <w:lang w:val="en"/>
        </w:rPr>
        <w:t xml:space="preserve"> of</w:t>
      </w:r>
      <w:proofErr w:type="gram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-US"/>
        </w:rPr>
        <w:t>of</w:t>
      </w:r>
      <w:proofErr w:type="spellEnd"/>
      <w:r>
        <w:rPr>
          <w:sz w:val="24"/>
          <w:szCs w:val="24"/>
          <w:lang w:val="en-US"/>
        </w:rPr>
        <w:t xml:space="preserve"> block 1 of the GEP HE (index B1.O.7)</w:t>
      </w:r>
    </w:p>
    <w:p w:rsidR="00266D51" w:rsidRDefault="00266D51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</w:p>
    <w:p w:rsidR="00266D51" w:rsidRDefault="00F6402F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266D51" w:rsidRDefault="00F6402F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ab/>
        <w:t xml:space="preserve">Mastering the discipline aims </w:t>
      </w:r>
      <w:r>
        <w:rPr>
          <w:sz w:val="24"/>
          <w:szCs w:val="24"/>
          <w:lang w:val="en"/>
        </w:rPr>
        <w:t>at acquiring the following universal (UC) or/and general professional (GPC) or/and professional (PC) competencies</w:t>
      </w:r>
    </w:p>
    <w:tbl>
      <w:tblPr>
        <w:tblW w:w="5000" w:type="pct"/>
        <w:tblInd w:w="-113" w:type="dxa"/>
        <w:tblLayout w:type="fixed"/>
        <w:tblLook w:val="01E0" w:firstRow="1" w:lastRow="1" w:firstColumn="1" w:lastColumn="1" w:noHBand="0" w:noVBand="0"/>
      </w:tblPr>
      <w:tblGrid>
        <w:gridCol w:w="370"/>
        <w:gridCol w:w="1230"/>
        <w:gridCol w:w="2041"/>
        <w:gridCol w:w="2041"/>
        <w:gridCol w:w="1226"/>
        <w:gridCol w:w="1226"/>
        <w:gridCol w:w="1437"/>
      </w:tblGrid>
      <w:tr w:rsidR="00266D51" w:rsidRPr="001851E9">
        <w:trPr>
          <w:trHeight w:val="34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Competence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Calibri"/>
                <w:bCs/>
                <w:sz w:val="24"/>
                <w:szCs w:val="24"/>
                <w:lang w:val="en-US"/>
              </w:rPr>
            </w:pPr>
            <w:r>
              <w:rPr>
                <w:rFonts w:cs="Calibri"/>
                <w:bCs/>
                <w:sz w:val="24"/>
                <w:szCs w:val="24"/>
                <w:lang w:val="en-US"/>
              </w:rPr>
              <w:t>The content of the competence (or its part)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Code and name of the competence acquisition metric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rFonts w:cs="Calibri"/>
                <w:sz w:val="24"/>
                <w:szCs w:val="24"/>
                <w:lang w:val="en-US"/>
              </w:rPr>
              <w:t xml:space="preserve">As a result of mastering the </w:t>
            </w:r>
            <w:r>
              <w:rPr>
                <w:rFonts w:cs="Calibri"/>
                <w:sz w:val="24"/>
                <w:szCs w:val="24"/>
                <w:lang w:val="en-US"/>
              </w:rPr>
              <w:t>discipline, the students should:</w:t>
            </w:r>
          </w:p>
        </w:tc>
      </w:tr>
      <w:tr w:rsidR="00266D51">
        <w:trPr>
          <w:trHeight w:val="34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Be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able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Possess</w:t>
            </w:r>
            <w:proofErr w:type="spellEnd"/>
          </w:p>
        </w:tc>
      </w:tr>
      <w:tr w:rsidR="00266D51" w:rsidRPr="001851E9">
        <w:trPr>
          <w:trHeight w:val="34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  <w:tab w:val="right" w:leader="underscore" w:pos="9639"/>
              </w:tabs>
              <w:snapToGrid w:val="0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UC-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Able to analyze and take into account the diversity of cultures in the process of the intercultural interaction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TableParagraph"/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UC-5.3. Builds social professional interaction taking into account the </w:t>
            </w:r>
            <w:r>
              <w:rPr>
                <w:sz w:val="24"/>
                <w:szCs w:val="24"/>
                <w:lang w:val="en-US"/>
              </w:rPr>
              <w:t xml:space="preserve">peculiarities of the main forms of scientific and religious consciousness, business and </w:t>
            </w:r>
            <w:proofErr w:type="spellStart"/>
            <w:r>
              <w:rPr>
                <w:sz w:val="24"/>
                <w:szCs w:val="24"/>
                <w:lang w:val="en-US"/>
              </w:rPr>
              <w:t>generalcultures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of representatives of other ethnic groups and confessions, various social groups</w:t>
            </w:r>
          </w:p>
          <w:p w:rsidR="00266D51" w:rsidRDefault="00F6402F">
            <w:pPr>
              <w:pStyle w:val="TableParagraph"/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UC-5.4. Provides the creation </w:t>
            </w:r>
            <w:proofErr w:type="spellStart"/>
            <w:r>
              <w:rPr>
                <w:sz w:val="24"/>
                <w:szCs w:val="24"/>
                <w:lang w:val="en-US"/>
              </w:rPr>
              <w:t>ofnon</w:t>
            </w:r>
            <w:proofErr w:type="spellEnd"/>
            <w:r>
              <w:rPr>
                <w:sz w:val="24"/>
                <w:szCs w:val="24"/>
                <w:lang w:val="en-US"/>
              </w:rPr>
              <w:t>-discriminatory interaction environm</w:t>
            </w:r>
            <w:r>
              <w:rPr>
                <w:sz w:val="24"/>
                <w:szCs w:val="24"/>
                <w:lang w:val="en-US"/>
              </w:rPr>
              <w:t>ent when performing professional tasks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lexical minimum in the amount of 700 terminological units and terminological elements;</w:t>
            </w:r>
          </w:p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  <w:lang w:val="en-US"/>
              </w:rPr>
              <w:t>use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in professional activities special medical expressions, Latin proverbs and aphorisms in oral and written communi</w:t>
            </w:r>
            <w:r>
              <w:rPr>
                <w:iCs/>
                <w:sz w:val="24"/>
                <w:szCs w:val="24"/>
                <w:lang w:val="en-US"/>
              </w:rPr>
              <w:lastRenderedPageBreak/>
              <w:t>cation.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iCs/>
                <w:sz w:val="24"/>
                <w:szCs w:val="24"/>
                <w:lang w:val="en-US"/>
              </w:rPr>
              <w:t>use at least 700 terminological units and terminological elements;</w:t>
            </w:r>
          </w:p>
          <w:p w:rsidR="00266D51" w:rsidRDefault="00F6402F">
            <w:pPr>
              <w:widowControl w:val="0"/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  <w:lang w:val="en-US"/>
              </w:rPr>
              <w:t>use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in professional activities special medical expressions, Latin proverbs and aphorisms in oral and written communication.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  <w:lang w:val="en-US"/>
              </w:rPr>
              <w:t>the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basic concepts of terminology (term, term system, term-fo</w:t>
            </w:r>
            <w:r>
              <w:rPr>
                <w:iCs/>
                <w:sz w:val="24"/>
                <w:szCs w:val="24"/>
                <w:lang w:val="en-US"/>
              </w:rPr>
              <w:t>rmation model, term element, etc.);</w:t>
            </w:r>
          </w:p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iCs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iCs/>
                <w:sz w:val="24"/>
                <w:szCs w:val="24"/>
                <w:lang w:val="en-US"/>
              </w:rPr>
              <w:t xml:space="preserve"> minimum of special medical expressions, proverbs and aphorisms in Latin.</w:t>
            </w:r>
          </w:p>
        </w:tc>
      </w:tr>
      <w:tr w:rsidR="00266D51" w:rsidRPr="001851E9">
        <w:trPr>
          <w:trHeight w:val="34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  <w:tab w:val="right" w:leader="underscore" w:pos="9639"/>
              </w:tabs>
              <w:snapToGrid w:val="0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PC-2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TableParagraph"/>
              <w:widowControl w:val="0"/>
              <w:ind w:left="57" w:right="4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Able to solve the tasks of professional activity in the implementation of the release and sale of medicines and other products of the </w:t>
            </w:r>
            <w:r>
              <w:rPr>
                <w:sz w:val="24"/>
                <w:szCs w:val="24"/>
                <w:lang w:val="en-US"/>
              </w:rPr>
              <w:t>pharmacy range through pharmaceutical and medical organizations, incl. with the use of modern technical means and digital technologies</w:t>
            </w:r>
          </w:p>
          <w:p w:rsidR="00266D51" w:rsidRDefault="00266D51">
            <w:pPr>
              <w:widowControl w:val="0"/>
              <w:tabs>
                <w:tab w:val="left" w:pos="708"/>
                <w:tab w:val="right" w:leader="underscore" w:pos="9639"/>
              </w:tabs>
              <w:jc w:val="both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TableParagraph"/>
              <w:widowControl w:val="0"/>
              <w:ind w:right="4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PC-2.1. Conducts pharmaceutical examination of prescriptions and requisition notes, as well as their registration and </w:t>
            </w:r>
            <w:r>
              <w:rPr>
                <w:sz w:val="24"/>
                <w:szCs w:val="24"/>
                <w:lang w:val="en-US"/>
              </w:rPr>
              <w:t>rating in accordance with the established procedure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models of the formation of semi-systematic chemical names;</w:t>
            </w:r>
          </w:p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ways and means of word formation of trivial names of medicines;</w:t>
            </w:r>
          </w:p>
          <w:p w:rsidR="00266D51" w:rsidRDefault="00F6402F">
            <w:pPr>
              <w:widowControl w:val="0"/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the structure of the Latin part of the prescription and the official requir</w:t>
            </w:r>
            <w:r>
              <w:rPr>
                <w:iCs/>
                <w:sz w:val="24"/>
                <w:szCs w:val="24"/>
                <w:lang w:val="en-US"/>
              </w:rPr>
              <w:t>ements for its execution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-analyze trivial names of medicines;</w:t>
            </w:r>
          </w:p>
          <w:p w:rsidR="00266D51" w:rsidRDefault="00F6402F">
            <w:pPr>
              <w:widowControl w:val="0"/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write and correctly execute prescriptions in Latin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-skills in analyzing trivial drug names;</w:t>
            </w:r>
          </w:p>
          <w:p w:rsidR="00266D51" w:rsidRDefault="00F6402F">
            <w:pPr>
              <w:widowControl w:val="0"/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- skills of writing and correct execution of prescriptions in Latin</w:t>
            </w:r>
          </w:p>
        </w:tc>
      </w:tr>
    </w:tbl>
    <w:p w:rsidR="00266D51" w:rsidRPr="001851E9" w:rsidRDefault="00266D51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266D51" w:rsidRDefault="00F6402F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>
        <w:rPr>
          <w:rFonts w:cs="Times New Roman"/>
          <w:b/>
          <w:sz w:val="22"/>
          <w:szCs w:val="22"/>
          <w:lang w:val="en" w:eastAsia="en-US"/>
        </w:rPr>
        <w:t xml:space="preserve">Volume of the academic </w:t>
      </w:r>
      <w:r>
        <w:rPr>
          <w:rFonts w:cs="Times New Roman"/>
          <w:b/>
          <w:sz w:val="22"/>
          <w:szCs w:val="22"/>
          <w:lang w:val="en" w:eastAsia="en-US"/>
        </w:rPr>
        <w:t>discipline and types of academic work</w:t>
      </w:r>
    </w:p>
    <w:p w:rsidR="00266D51" w:rsidRDefault="00F6402F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>
        <w:rPr>
          <w:rFonts w:cs="Times New Roman"/>
          <w:bCs/>
          <w:sz w:val="22"/>
          <w:szCs w:val="22"/>
          <w:lang w:val="en" w:eastAsia="en-US"/>
        </w:rPr>
        <w:t xml:space="preserve">Total labor intensity of the discipline is </w:t>
      </w:r>
      <w:r>
        <w:rPr>
          <w:rFonts w:cs="Times New Roman"/>
          <w:bCs/>
          <w:sz w:val="22"/>
          <w:szCs w:val="22"/>
          <w:lang w:val="en-US" w:eastAsia="en-US"/>
        </w:rPr>
        <w:t>4</w:t>
      </w:r>
      <w:proofErr w:type="gramStart"/>
      <w:r>
        <w:rPr>
          <w:rFonts w:cs="Times New Roman"/>
          <w:bCs/>
          <w:sz w:val="22"/>
          <w:szCs w:val="22"/>
          <w:lang w:val="en-US" w:eastAsia="en-US"/>
        </w:rPr>
        <w:t>,0</w:t>
      </w:r>
      <w:proofErr w:type="gramEnd"/>
      <w:r>
        <w:rPr>
          <w:rFonts w:cs="Times New Roman"/>
          <w:bCs/>
          <w:sz w:val="22"/>
          <w:szCs w:val="22"/>
          <w:lang w:val="en" w:eastAsia="en-US"/>
        </w:rPr>
        <w:t xml:space="preserve"> CU (</w:t>
      </w:r>
      <w:r>
        <w:rPr>
          <w:rFonts w:cs="Times New Roman"/>
          <w:bCs/>
          <w:sz w:val="22"/>
          <w:szCs w:val="22"/>
          <w:lang w:val="en-US" w:eastAsia="en-US"/>
        </w:rPr>
        <w:t>144</w:t>
      </w:r>
      <w:r>
        <w:rPr>
          <w:rFonts w:cs="Times New Roman"/>
          <w:bCs/>
          <w:sz w:val="22"/>
          <w:szCs w:val="22"/>
          <w:lang w:val="en" w:eastAsia="en-US"/>
        </w:rPr>
        <w:t>AH)</w:t>
      </w:r>
    </w:p>
    <w:tbl>
      <w:tblPr>
        <w:tblW w:w="9830" w:type="dxa"/>
        <w:tblLayout w:type="fixed"/>
        <w:tblLook w:val="04A0" w:firstRow="1" w:lastRow="0" w:firstColumn="1" w:lastColumn="0" w:noHBand="0" w:noVBand="1"/>
      </w:tblPr>
      <w:tblGrid>
        <w:gridCol w:w="4211"/>
        <w:gridCol w:w="1231"/>
        <w:gridCol w:w="1233"/>
        <w:gridCol w:w="1579"/>
        <w:gridCol w:w="1576"/>
      </w:tblGrid>
      <w:tr w:rsidR="00266D51" w:rsidRPr="001851E9">
        <w:trPr>
          <w:trHeight w:val="226"/>
        </w:trPr>
        <w:tc>
          <w:tcPr>
            <w:tcW w:w="4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Type of educational work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Labor intensity</w:t>
            </w:r>
          </w:p>
        </w:tc>
        <w:tc>
          <w:tcPr>
            <w:tcW w:w="3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center"/>
              <w:rPr>
                <w:rFonts w:cs="Times New Roman"/>
                <w:sz w:val="24"/>
                <w:szCs w:val="24"/>
                <w:lang w:val="en"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Labor intensity (AH) in semesters</w:t>
            </w:r>
          </w:p>
        </w:tc>
      </w:tr>
      <w:tr w:rsidR="00266D51" w:rsidRPr="001851E9">
        <w:trPr>
          <w:trHeight w:val="507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val="en"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volume in credit units (CU)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val="en"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volume in academic hours (AH)</w:t>
            </w:r>
          </w:p>
        </w:tc>
        <w:tc>
          <w:tcPr>
            <w:tcW w:w="3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</w:p>
        </w:tc>
      </w:tr>
      <w:tr w:rsidR="00266D51">
        <w:trPr>
          <w:trHeight w:val="466"/>
        </w:trPr>
        <w:tc>
          <w:tcPr>
            <w:tcW w:w="4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266D51">
            <w:pPr>
              <w:widowControl w:val="0"/>
              <w:spacing w:line="252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center"/>
              <w:rPr>
                <w:rFonts w:cs="Times New Roman"/>
                <w:sz w:val="24"/>
                <w:szCs w:val="24"/>
                <w:lang w:val="en-US" w:eastAsia="en-US"/>
              </w:rPr>
            </w:pPr>
            <w:r>
              <w:rPr>
                <w:rFonts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Classroom work,</w:t>
            </w:r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including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266D51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  Lectures (L)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t>-</w:t>
            </w: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  Laboratory practicum (LP)*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  </w:t>
            </w:r>
            <w:proofErr w:type="spellStart"/>
            <w:r>
              <w:rPr>
                <w:rFonts w:cs="Times New Roman"/>
                <w:sz w:val="24"/>
                <w:szCs w:val="24"/>
                <w:lang w:val="en" w:eastAsia="en-US"/>
              </w:rPr>
              <w:t>Practicals</w:t>
            </w:r>
            <w:proofErr w:type="spellEnd"/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(P)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rPr>
                <w:lang w:val="de-DE"/>
              </w:rPr>
              <w:t>3</w:t>
            </w:r>
            <w: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56</w:t>
            </w: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  Seminars (S)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266D51">
        <w:trPr>
          <w:trHeight w:val="516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val="en"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Student’s individual work (SIW)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de-DE"/>
              </w:rPr>
            </w:pPr>
            <w:r>
              <w:rPr>
                <w:lang w:val="de-DE"/>
              </w:rPr>
              <w:t>1,5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Mid-term assessment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266D5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widowControl w:val="0"/>
              <w:rPr>
                <w:sz w:val="24"/>
                <w:szCs w:val="24"/>
              </w:rPr>
            </w:pPr>
          </w:p>
        </w:tc>
      </w:tr>
      <w:tr w:rsidR="00266D51">
        <w:trPr>
          <w:trHeight w:val="251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val="en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 xml:space="preserve">   credit/exam </w:t>
            </w:r>
            <w:r>
              <w:rPr>
                <w:rFonts w:cs="Times New Roman"/>
                <w:i/>
                <w:sz w:val="24"/>
                <w:szCs w:val="24"/>
                <w:lang w:val="en" w:eastAsia="en-US"/>
              </w:rPr>
              <w:t>(specify the type)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266D51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266D51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snapToGrid w:val="0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credit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test</w:t>
            </w:r>
            <w:proofErr w:type="spellEnd"/>
          </w:p>
        </w:tc>
      </w:tr>
      <w:tr w:rsidR="00266D51">
        <w:trPr>
          <w:trHeight w:val="23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widowControl w:val="0"/>
              <w:tabs>
                <w:tab w:val="right" w:pos="9639"/>
              </w:tabs>
              <w:spacing w:line="252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TOTAL LABOR INTENSITY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t>4,0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jc w:val="center"/>
            </w:pPr>
            <w:r>
              <w:rPr>
                <w:lang w:val="de-DE"/>
              </w:rPr>
              <w:t>1</w:t>
            </w:r>
            <w:r>
              <w:t>44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snapToGrid w:val="0"/>
              <w:jc w:val="center"/>
            </w:pPr>
            <w:r>
              <w:t>54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D51" w:rsidRDefault="00F6402F">
            <w:pPr>
              <w:pStyle w:val="ac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</w:tbl>
    <w:p w:rsidR="00266D51" w:rsidRDefault="00266D51">
      <w:pPr>
        <w:pStyle w:val="a8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266D51" w:rsidRDefault="00266D51">
      <w:pPr>
        <w:pStyle w:val="a8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266D51" w:rsidRDefault="00266D51">
      <w:pPr>
        <w:pStyle w:val="a8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266D51" w:rsidRDefault="00F6402F">
      <w:pPr>
        <w:pStyle w:val="a8"/>
        <w:ind w:left="0" w:firstLine="709"/>
        <w:jc w:val="both"/>
        <w:rPr>
          <w:b/>
          <w:sz w:val="22"/>
          <w:szCs w:val="22"/>
          <w:lang w:val="en-US"/>
        </w:rPr>
      </w:pPr>
      <w:r>
        <w:rPr>
          <w:rFonts w:cs="Times New Roman"/>
          <w:b/>
          <w:bCs/>
          <w:sz w:val="24"/>
          <w:szCs w:val="24"/>
          <w:lang w:val="en"/>
        </w:rPr>
        <w:t xml:space="preserve">5. </w:t>
      </w:r>
      <w:r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266D51" w:rsidRPr="001851E9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lastRenderedPageBreak/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spacing w:line="252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spacing w:line="252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"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Section name</w:t>
            </w:r>
          </w:p>
          <w:p w:rsidR="00266D51" w:rsidRDefault="00F6402F">
            <w:pPr>
              <w:widowControl w:val="0"/>
              <w:spacing w:line="252" w:lineRule="auto"/>
              <w:ind w:left="-57" w:right="-57"/>
              <w:jc w:val="center"/>
              <w:rPr>
                <w:rFonts w:cs="Times New Roman"/>
                <w:sz w:val="24"/>
                <w:szCs w:val="24"/>
                <w:lang w:val="en" w:eastAsia="en-US"/>
              </w:rPr>
            </w:pPr>
            <w:r>
              <w:rPr>
                <w:rFonts w:cs="Times New Roman"/>
                <w:sz w:val="24"/>
                <w:szCs w:val="24"/>
                <w:lang w:val="en" w:eastAsia="en-US"/>
              </w:rPr>
              <w:t>of the discipline</w:t>
            </w:r>
          </w:p>
        </w:tc>
      </w:tr>
      <w:tr w:rsidR="00266D51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Introduction. The contribution of Latin and ancient Greek languages to medical and world culture. </w:t>
            </w:r>
            <w:proofErr w:type="spellStart"/>
            <w:r>
              <w:rPr>
                <w:sz w:val="24"/>
                <w:szCs w:val="24"/>
              </w:rPr>
              <w:t>General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concept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Greek-Latin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terminology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66D51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Phonetics</w:t>
            </w:r>
            <w:proofErr w:type="spellEnd"/>
          </w:p>
        </w:tc>
      </w:tr>
      <w:tr w:rsidR="00266D51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3.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UC-5</w:t>
            </w:r>
          </w:p>
          <w:p w:rsidR="00266D51" w:rsidRDefault="00F6402F">
            <w:pPr>
              <w:pStyle w:val="1"/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PC-2</w:t>
            </w:r>
          </w:p>
        </w:tc>
        <w:tc>
          <w:tcPr>
            <w:tcW w:w="7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>Grammar</w:t>
            </w:r>
          </w:p>
        </w:tc>
      </w:tr>
      <w:tr w:rsidR="00266D51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4.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UC-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both"/>
              <w:rPr>
                <w:rFonts w:eastAsia="Batang"/>
                <w:sz w:val="24"/>
                <w:szCs w:val="24"/>
                <w:lang w:val="en-US"/>
              </w:rPr>
            </w:pPr>
            <w:r>
              <w:rPr>
                <w:rFonts w:eastAsia="Batang"/>
                <w:sz w:val="24"/>
                <w:szCs w:val="24"/>
                <w:lang w:val="en-US"/>
              </w:rPr>
              <w:t>Syntax</w:t>
            </w:r>
          </w:p>
        </w:tc>
      </w:tr>
      <w:tr w:rsidR="00266D51" w:rsidRPr="001851E9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UC-5</w:t>
            </w:r>
          </w:p>
          <w:p w:rsidR="00266D51" w:rsidRDefault="00F6402F">
            <w:pPr>
              <w:pStyle w:val="1"/>
              <w:widowControl w:val="0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PC-2</w:t>
            </w:r>
          </w:p>
        </w:tc>
        <w:tc>
          <w:tcPr>
            <w:tcW w:w="7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 formation and word formation</w:t>
            </w:r>
          </w:p>
        </w:tc>
      </w:tr>
      <w:tr w:rsidR="00266D51">
        <w:trPr>
          <w:trHeight w:val="27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6.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PC-2</w:t>
            </w:r>
          </w:p>
        </w:tc>
        <w:tc>
          <w:tcPr>
            <w:tcW w:w="7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D51" w:rsidRDefault="00F6402F">
            <w:pPr>
              <w:widowControl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prescription</w:t>
            </w:r>
          </w:p>
        </w:tc>
      </w:tr>
    </w:tbl>
    <w:p w:rsidR="00266D51" w:rsidRDefault="00266D51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266D51" w:rsidRDefault="00266D51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266D5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199"/>
    <w:multiLevelType w:val="multilevel"/>
    <w:tmpl w:val="4EC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sz w:val="24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2E59BC"/>
    <w:multiLevelType w:val="multilevel"/>
    <w:tmpl w:val="94F26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51"/>
    <w:rsid w:val="001851E9"/>
    <w:rsid w:val="00266D51"/>
    <w:rsid w:val="00F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Autospacing="1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qFormat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qFormat/>
    <w:rsid w:val="00CA0939"/>
    <w:rPr>
      <w:rFonts w:ascii="Times New Roman" w:hAnsi="Times New Roman"/>
      <w:sz w:val="26"/>
    </w:rPr>
  </w:style>
  <w:style w:type="character" w:customStyle="1" w:styleId="WW8Num4z0">
    <w:name w:val="WW8Num4z0"/>
    <w:qFormat/>
    <w:rPr>
      <w:rFonts w:eastAsia="Times New Roman" w:cs="Times New Roman"/>
      <w:b w:val="0"/>
      <w:bCs/>
      <w:sz w:val="24"/>
      <w:szCs w:val="28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qFormat/>
    <w:pPr>
      <w:suppressAutoHyphens w:val="0"/>
      <w:spacing w:before="280" w:after="280"/>
    </w:pPr>
    <w:rPr>
      <w:rFonts w:cs="Times New Roman"/>
      <w:kern w:val="2"/>
    </w:rPr>
  </w:style>
  <w:style w:type="paragraph" w:customStyle="1" w:styleId="TableParagraph">
    <w:name w:val="Table Paragraph"/>
    <w:basedOn w:val="a"/>
    <w:qFormat/>
  </w:style>
  <w:style w:type="paragraph" w:customStyle="1" w:styleId="ac">
    <w:name w:val="Для таблиц"/>
    <w:basedOn w:val="a"/>
    <w:qFormat/>
    <w:pPr>
      <w:jc w:val="both"/>
    </w:pPr>
    <w:rPr>
      <w:sz w:val="24"/>
      <w:szCs w:val="24"/>
      <w:lang w:eastAsia="ar-SA"/>
    </w:rPr>
  </w:style>
  <w:style w:type="paragraph" w:customStyle="1" w:styleId="1">
    <w:name w:val="Без интервала1"/>
    <w:qFormat/>
    <w:pPr>
      <w:jc w:val="both"/>
    </w:pPr>
    <w:rPr>
      <w:rFonts w:eastAsia="Times New Roman" w:cs="Calibri"/>
      <w:kern w:val="2"/>
      <w:lang w:eastAsia="zh-CN"/>
    </w:rPr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Autospacing="1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qFormat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qFormat/>
    <w:rsid w:val="00CA0939"/>
    <w:rPr>
      <w:rFonts w:ascii="Times New Roman" w:hAnsi="Times New Roman"/>
      <w:sz w:val="26"/>
    </w:rPr>
  </w:style>
  <w:style w:type="character" w:customStyle="1" w:styleId="WW8Num4z0">
    <w:name w:val="WW8Num4z0"/>
    <w:qFormat/>
    <w:rPr>
      <w:rFonts w:eastAsia="Times New Roman" w:cs="Times New Roman"/>
      <w:b w:val="0"/>
      <w:bCs/>
      <w:sz w:val="24"/>
      <w:szCs w:val="28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Normal (Web)"/>
    <w:basedOn w:val="a"/>
    <w:qFormat/>
    <w:pPr>
      <w:suppressAutoHyphens w:val="0"/>
      <w:spacing w:before="280" w:after="280"/>
    </w:pPr>
    <w:rPr>
      <w:rFonts w:cs="Times New Roman"/>
      <w:kern w:val="2"/>
    </w:rPr>
  </w:style>
  <w:style w:type="paragraph" w:customStyle="1" w:styleId="TableParagraph">
    <w:name w:val="Table Paragraph"/>
    <w:basedOn w:val="a"/>
    <w:qFormat/>
  </w:style>
  <w:style w:type="paragraph" w:customStyle="1" w:styleId="ac">
    <w:name w:val="Для таблиц"/>
    <w:basedOn w:val="a"/>
    <w:qFormat/>
    <w:pPr>
      <w:jc w:val="both"/>
    </w:pPr>
    <w:rPr>
      <w:sz w:val="24"/>
      <w:szCs w:val="24"/>
      <w:lang w:eastAsia="ar-SA"/>
    </w:rPr>
  </w:style>
  <w:style w:type="paragraph" w:customStyle="1" w:styleId="1">
    <w:name w:val="Без интервала1"/>
    <w:qFormat/>
    <w:pPr>
      <w:jc w:val="both"/>
    </w:pPr>
    <w:rPr>
      <w:rFonts w:eastAsia="Times New Roman" w:cs="Calibri"/>
      <w:kern w:val="2"/>
      <w:lang w:eastAsia="zh-CN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3</cp:revision>
  <dcterms:created xsi:type="dcterms:W3CDTF">2023-04-11T14:58:00Z</dcterms:created>
  <dcterms:modified xsi:type="dcterms:W3CDTF">2023-04-11T14:58:00Z</dcterms:modified>
  <dc:language>ru-RU</dc:language>
</cp:coreProperties>
</file>